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C2D3A">
        <w:trPr>
          <w:trHeight w:val="340"/>
        </w:trPr>
        <w:tc>
          <w:tcPr>
            <w:tcW w:w="9918" w:type="dxa"/>
            <w:gridSpan w:val="4"/>
            <w:shd w:val="clear" w:color="auto" w:fill="404040" w:themeFill="text1" w:themeFillTint="BF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shd w:val="clear" w:color="auto" w:fill="auto"/>
            <w:vAlign w:val="center"/>
          </w:tcPr>
          <w:p w14:paraId="6C77C4E8" w14:textId="71500C02" w:rsidR="00A70556" w:rsidRDefault="0094737F" w:rsidP="0094737F">
            <w:pPr>
              <w:spacing w:after="0" w:line="276" w:lineRule="auto"/>
            </w:pPr>
            <w:r>
              <w:t>S</w:t>
            </w:r>
            <w:r w:rsidRPr="0094737F">
              <w:t>inaloenses productivos</w:t>
            </w:r>
          </w:p>
        </w:tc>
      </w:tr>
      <w:tr w:rsidR="00B861E0" w:rsidRPr="00A70556" w14:paraId="545E4A19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0A293424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  <w:vAlign w:val="center"/>
          </w:tcPr>
          <w:p w14:paraId="69C20C49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B861E0" w14:paraId="1D014C1E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auto"/>
            <w:vAlign w:val="center"/>
          </w:tcPr>
          <w:p w14:paraId="404D8B68" w14:textId="7F2C726F" w:rsidR="00B861E0" w:rsidRPr="0077077A" w:rsidRDefault="0077077A" w:rsidP="00A123E6">
            <w:pPr>
              <w:spacing w:after="0" w:line="276" w:lineRule="auto"/>
              <w:jc w:val="center"/>
              <w:rPr>
                <w:bCs/>
              </w:rPr>
            </w:pPr>
            <w:r w:rsidRPr="0077077A">
              <w:rPr>
                <w:bCs/>
              </w:rPr>
              <w:t>22</w:t>
            </w:r>
            <w:r>
              <w:rPr>
                <w:bCs/>
              </w:rPr>
              <w:t>/03</w:t>
            </w:r>
            <w:r w:rsidRPr="0077077A">
              <w:rPr>
                <w:bCs/>
              </w:rPr>
              <w:t>/</w:t>
            </w:r>
            <w:r>
              <w:rPr>
                <w:bCs/>
              </w:rPr>
              <w:t>20</w:t>
            </w:r>
            <w:r w:rsidRPr="0077077A">
              <w:rPr>
                <w:bCs/>
              </w:rPr>
              <w:t>23</w:t>
            </w:r>
          </w:p>
        </w:tc>
        <w:tc>
          <w:tcPr>
            <w:tcW w:w="5206" w:type="dxa"/>
            <w:gridSpan w:val="2"/>
            <w:shd w:val="clear" w:color="auto" w:fill="auto"/>
            <w:vAlign w:val="center"/>
          </w:tcPr>
          <w:p w14:paraId="79E9E4F4" w14:textId="5C730194" w:rsidR="00B861E0" w:rsidRPr="0077077A" w:rsidRDefault="0077077A" w:rsidP="00A123E6">
            <w:pPr>
              <w:spacing w:after="0" w:line="276" w:lineRule="auto"/>
              <w:jc w:val="center"/>
              <w:rPr>
                <w:bCs/>
              </w:rPr>
            </w:pPr>
            <w:r w:rsidRPr="0077077A">
              <w:rPr>
                <w:bCs/>
              </w:rPr>
              <w:t>31/07/2023</w:t>
            </w:r>
          </w:p>
        </w:tc>
      </w:tr>
      <w:tr w:rsidR="00A70556" w14:paraId="6B7EC127" w14:textId="77777777" w:rsidTr="004B0FA0">
        <w:trPr>
          <w:trHeight w:val="340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9F4211" w14:paraId="37454C6A" w14:textId="77777777" w:rsidTr="00E06043">
        <w:trPr>
          <w:trHeight w:val="340"/>
        </w:trPr>
        <w:tc>
          <w:tcPr>
            <w:tcW w:w="9918" w:type="dxa"/>
            <w:gridSpan w:val="4"/>
            <w:shd w:val="clear" w:color="auto" w:fill="auto"/>
          </w:tcPr>
          <w:p w14:paraId="78C4F704" w14:textId="7AE2D17E" w:rsidR="009F4211" w:rsidRPr="0094737F" w:rsidRDefault="0094737F" w:rsidP="009F4211">
            <w:pPr>
              <w:pStyle w:val="Prrafodelista"/>
              <w:spacing w:after="0" w:line="276" w:lineRule="auto"/>
              <w:ind w:left="37"/>
              <w:jc w:val="both"/>
              <w:rPr>
                <w:bCs/>
              </w:rPr>
            </w:pPr>
            <w:r w:rsidRPr="0094737F">
              <w:rPr>
                <w:bCs/>
              </w:rPr>
              <w:t>Ing. José Ángel López Fierro</w:t>
            </w:r>
            <w:r>
              <w:rPr>
                <w:bCs/>
              </w:rPr>
              <w:t>, j</w:t>
            </w:r>
            <w:r w:rsidRPr="0094737F">
              <w:rPr>
                <w:bCs/>
              </w:rPr>
              <w:t>efe de Departamento de Formulación de Proyectos</w:t>
            </w:r>
          </w:p>
        </w:tc>
      </w:tr>
      <w:tr w:rsidR="00A70556" w14:paraId="79DD6CAD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0CC8B222" w:rsidR="00B920F2" w:rsidRDefault="00D829E6" w:rsidP="00521401">
      <w:pPr>
        <w:pStyle w:val="Prrafodelista"/>
        <w:spacing w:after="0" w:line="276" w:lineRule="auto"/>
        <w:ind w:left="142"/>
        <w:jc w:val="both"/>
      </w:pPr>
      <w:r w:rsidRPr="00D829E6">
        <w:t>Evaluar el diseño del proyecto de sinaloenses productivos en su ejercicio fiscal 2022, con la finalidad de proveer información que retroalimente su diseño, gestión y resultados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6A81C7B7" w14:textId="77777777" w:rsidR="00D829E6" w:rsidRDefault="00D829E6" w:rsidP="00D829E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la justificación de la creación y diseño de uno o más programas.</w:t>
      </w:r>
    </w:p>
    <w:p w14:paraId="0FD7A328" w14:textId="77777777" w:rsidR="00D829E6" w:rsidRDefault="00D829E6" w:rsidP="00D829E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y analizar su vinculación con la planeación sectorial, estatal y/o nacional.</w:t>
      </w:r>
    </w:p>
    <w:p w14:paraId="5E9AE9AE" w14:textId="77777777" w:rsidR="00D829E6" w:rsidRDefault="00D829E6" w:rsidP="00D829E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a sus poblaciones y mecanismos de atención.</w:t>
      </w:r>
    </w:p>
    <w:p w14:paraId="7803A23B" w14:textId="77777777" w:rsidR="00D829E6" w:rsidRDefault="00D829E6" w:rsidP="00D829E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el funcionamiento y operación del padrón de beneficiarios y la entrega de apoyos.</w:t>
      </w:r>
    </w:p>
    <w:p w14:paraId="3E73B276" w14:textId="77777777" w:rsidR="00D829E6" w:rsidRDefault="00D829E6" w:rsidP="00D829E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la consistencia entre su diseño y la normatividad aplicable.</w:t>
      </w:r>
    </w:p>
    <w:p w14:paraId="77922A9C" w14:textId="77777777" w:rsidR="00D829E6" w:rsidRDefault="00D829E6" w:rsidP="00D829E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el registro de operaciones presupuestales y rendición de cuentas.</w:t>
      </w:r>
    </w:p>
    <w:p w14:paraId="2CCD5C65" w14:textId="21E88547" w:rsidR="009B7088" w:rsidRDefault="00D829E6" w:rsidP="00D829E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posibles complementariedades y/o coincidencias con otros programas tanto estatales como federales.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05C34588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EB4CD4">
        <w:t xml:space="preserve">Trabajo de escritorio, mediante el cumplimiento de los Términos de Referencia para la Evaluación </w:t>
      </w:r>
      <w:r w:rsidR="0034573D">
        <w:t xml:space="preserve">de </w:t>
      </w:r>
      <w:r w:rsidR="0094737F">
        <w:t>Diseño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34573D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34573D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Esquema de la Evaluación</w:t>
            </w:r>
          </w:p>
          <w:p w14:paraId="635641E2" w14:textId="4F671462" w:rsidR="00581B4A" w:rsidRPr="00581B4A" w:rsidRDefault="00EC7832" w:rsidP="0094737F">
            <w:pPr>
              <w:spacing w:after="0" w:line="276" w:lineRule="auto"/>
              <w:jc w:val="center"/>
              <w:rPr>
                <w:b/>
                <w:bCs/>
              </w:rPr>
            </w:pPr>
            <w:r>
              <w:t>d</w:t>
            </w:r>
            <w:r w:rsidR="0034573D">
              <w:t xml:space="preserve">e </w:t>
            </w:r>
            <w:r w:rsidR="002F7E64">
              <w:t>Diseño</w:t>
            </w:r>
          </w:p>
        </w:tc>
      </w:tr>
      <w:tr w:rsidR="005D1F4D" w14:paraId="28F03B61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</w:t>
      </w:r>
      <w:proofErr w:type="spellStart"/>
      <w:r>
        <w:t>TdR</w:t>
      </w:r>
      <w:proofErr w:type="spellEnd"/>
      <w:r>
        <w:t xml:space="preserve"> aplicados.</w:t>
      </w:r>
    </w:p>
    <w:p w14:paraId="385076F0" w14:textId="7B067B2F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p w14:paraId="42B0BCAD" w14:textId="1A6FC11D" w:rsidR="002C2D3A" w:rsidRDefault="002C2D3A" w:rsidP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62347B8F" w14:textId="77777777" w:rsidTr="002C2D3A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01EFA909" w14:textId="77777777" w:rsidR="00823754" w:rsidRPr="002C2D3A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4C680D20" w14:textId="77777777" w:rsidR="006C60C1" w:rsidRDefault="006C60C1" w:rsidP="006C60C1">
      <w:pPr>
        <w:spacing w:after="0" w:line="276" w:lineRule="auto"/>
        <w:ind w:left="284"/>
        <w:jc w:val="both"/>
      </w:pPr>
      <w:r>
        <w:t>El proyecto E002 denominado “</w:t>
      </w:r>
      <w:r w:rsidRPr="006C60C1">
        <w:t>Sinaloenses Productivos</w:t>
      </w:r>
      <w:r>
        <w:t>” proviene del Programa Presupuestario (Pp) P089 que lleva con nombre “</w:t>
      </w:r>
      <w:r w:rsidRPr="006C60C1">
        <w:t>Gestión de Fondos y Financiamientos para Mipymes Sinaloenses</w:t>
      </w:r>
      <w:r>
        <w:t>”.</w:t>
      </w:r>
    </w:p>
    <w:p w14:paraId="47E0345D" w14:textId="620B78DF" w:rsidR="006C60C1" w:rsidRDefault="006C60C1" w:rsidP="006C60C1">
      <w:pPr>
        <w:spacing w:after="0" w:line="276" w:lineRule="auto"/>
        <w:ind w:left="284"/>
        <w:jc w:val="both"/>
      </w:pPr>
      <w:r>
        <w:lastRenderedPageBreak/>
        <w:t xml:space="preserve">El objetivo general de dicho proyecto es contribuir al </w:t>
      </w:r>
      <w:r w:rsidRPr="007E1239">
        <w:t>mejoramiento de las condiciones de vida de la población beneficiaria a través de la implementación de un mecanismo de apoyo que fortalezca las iniciativas de autoempleo y que permitan la consolidación de proyectos competitivos para facilitar la transición a la economía formal, el desarrollo económico, así como la generación y conservación de empleos dignos y sustentables.</w:t>
      </w:r>
    </w:p>
    <w:p w14:paraId="6D28EF81" w14:textId="77777777" w:rsidR="006C60C1" w:rsidRDefault="006C60C1" w:rsidP="006C60C1">
      <w:pPr>
        <w:spacing w:after="0" w:line="276" w:lineRule="auto"/>
        <w:ind w:left="284"/>
        <w:jc w:val="both"/>
        <w:rPr>
          <w:lang w:val="es-ES"/>
        </w:rPr>
      </w:pPr>
    </w:p>
    <w:p w14:paraId="1F828B4A" w14:textId="6B5184A8" w:rsidR="00C31850" w:rsidRDefault="00C31850" w:rsidP="00C31850">
      <w:pPr>
        <w:spacing w:after="0" w:line="276" w:lineRule="auto"/>
        <w:ind w:left="284"/>
        <w:jc w:val="both"/>
        <w:rPr>
          <w:lang w:val="es-ES"/>
        </w:rPr>
      </w:pPr>
      <w:r>
        <w:rPr>
          <w:lang w:val="es-ES"/>
        </w:rPr>
        <w:t>Derivado de los resultados obtenidos a través de la evaluación, es posible detectar las siguientes fortalezas y oportunidades del proyecto:</w:t>
      </w:r>
    </w:p>
    <w:p w14:paraId="315B0EA7" w14:textId="77777777" w:rsidR="006C60C1" w:rsidRPr="006C60C1" w:rsidRDefault="006C60C1" w:rsidP="00C31850">
      <w:pPr>
        <w:spacing w:after="0" w:line="276" w:lineRule="auto"/>
        <w:ind w:left="284"/>
        <w:jc w:val="both"/>
        <w:rPr>
          <w:sz w:val="14"/>
          <w:lang w:val="es-ES"/>
        </w:rPr>
      </w:pPr>
    </w:p>
    <w:p w14:paraId="1C1770C7" w14:textId="77777777" w:rsidR="009E19EA" w:rsidRDefault="009E19EA" w:rsidP="009E19EA">
      <w:pPr>
        <w:pStyle w:val="Prrafodelista"/>
        <w:numPr>
          <w:ilvl w:val="0"/>
          <w:numId w:val="2"/>
        </w:numPr>
      </w:pPr>
      <w:r>
        <w:t>Se cuenta con el reglamento interior de la Secretaría de Economía.</w:t>
      </w:r>
    </w:p>
    <w:p w14:paraId="4A4E51DE" w14:textId="77777777" w:rsidR="009E19EA" w:rsidRDefault="009E19EA" w:rsidP="009E19EA">
      <w:pPr>
        <w:pStyle w:val="Prrafodelista"/>
        <w:numPr>
          <w:ilvl w:val="0"/>
          <w:numId w:val="2"/>
        </w:numPr>
      </w:pPr>
      <w:r>
        <w:t>Se cuenta con un diagnóstico del problema que atiende el proyecto, sin embargo, no incluye su proceso de revisión y actualización.</w:t>
      </w:r>
    </w:p>
    <w:p w14:paraId="39A787BE" w14:textId="5EC987A6" w:rsidR="009E19EA" w:rsidRDefault="009E19EA" w:rsidP="009E19EA">
      <w:pPr>
        <w:pStyle w:val="Prrafodelista"/>
        <w:numPr>
          <w:ilvl w:val="0"/>
          <w:numId w:val="2"/>
        </w:numPr>
      </w:pPr>
      <w:r>
        <w:t>Se identifican y se cuantifican las poblaciones (potencial, objetivo y atendida) en un documento, sin embargo, no incluye su proceso de revisión y actualización.</w:t>
      </w:r>
    </w:p>
    <w:p w14:paraId="6B0F528C" w14:textId="77777777" w:rsidR="009E19EA" w:rsidRDefault="009E19EA" w:rsidP="009E19EA">
      <w:pPr>
        <w:pStyle w:val="Prrafodelista"/>
        <w:numPr>
          <w:ilvl w:val="0"/>
          <w:numId w:val="2"/>
        </w:numPr>
      </w:pPr>
      <w:r>
        <w:t>El propósito del proyecto se encuentra vinculado a los objetivos del PND, el PED y sus respectivos programas sectoriales, además de los Objetivos de Desarrollo Sostenible.</w:t>
      </w:r>
    </w:p>
    <w:p w14:paraId="0A8BF2FB" w14:textId="77777777" w:rsidR="009E19EA" w:rsidRDefault="009E19EA" w:rsidP="009E19EA">
      <w:pPr>
        <w:pStyle w:val="Prrafodelista"/>
        <w:numPr>
          <w:ilvl w:val="0"/>
          <w:numId w:val="2"/>
        </w:numPr>
      </w:pPr>
      <w:r>
        <w:t>La unidad responsable genera una relación de los beneficiarios.</w:t>
      </w:r>
    </w:p>
    <w:p w14:paraId="35F54A2C" w14:textId="77777777" w:rsidR="009E19EA" w:rsidRDefault="009E19EA" w:rsidP="009E19EA">
      <w:pPr>
        <w:pStyle w:val="Prrafodelista"/>
        <w:numPr>
          <w:ilvl w:val="0"/>
          <w:numId w:val="2"/>
        </w:numPr>
      </w:pPr>
      <w:r>
        <w:t>La unidad responsable se apega a la metodología que establece el INEGI a través del DENUE.</w:t>
      </w:r>
    </w:p>
    <w:p w14:paraId="1E2B3C4C" w14:textId="77777777" w:rsidR="009E19EA" w:rsidRDefault="009E19EA" w:rsidP="009E19EA">
      <w:pPr>
        <w:pStyle w:val="Prrafodelista"/>
        <w:numPr>
          <w:ilvl w:val="0"/>
          <w:numId w:val="2"/>
        </w:numPr>
      </w:pPr>
      <w:r>
        <w:t>En las ROP se identifican los requisitos y el proceso para solicitar un apoyo.</w:t>
      </w:r>
    </w:p>
    <w:p w14:paraId="7BB4FFEE" w14:textId="77777777" w:rsidR="009E19EA" w:rsidRDefault="009E19EA" w:rsidP="009E19EA">
      <w:pPr>
        <w:pStyle w:val="Prrafodelista"/>
        <w:numPr>
          <w:ilvl w:val="0"/>
          <w:numId w:val="2"/>
        </w:numPr>
      </w:pPr>
      <w:r>
        <w:t>Se genera una relación de beneficiarios/padrón de beneficiarios.</w:t>
      </w:r>
    </w:p>
    <w:p w14:paraId="73671CF3" w14:textId="7C33082A" w:rsidR="0016726F" w:rsidRPr="00C31850" w:rsidRDefault="009E19EA" w:rsidP="009E19EA">
      <w:pPr>
        <w:pStyle w:val="Prrafodelista"/>
        <w:numPr>
          <w:ilvl w:val="0"/>
          <w:numId w:val="2"/>
        </w:numPr>
      </w:pPr>
      <w:r>
        <w:t>Se identificó y se cuantificó los gastos del proyecto.</w:t>
      </w:r>
    </w:p>
    <w:p w14:paraId="3776CE66" w14:textId="77777777" w:rsidR="00C31850" w:rsidRPr="006C60C1" w:rsidRDefault="00C31850" w:rsidP="00C31850">
      <w:pPr>
        <w:spacing w:after="0" w:line="276" w:lineRule="auto"/>
        <w:ind w:left="284"/>
        <w:jc w:val="both"/>
        <w:rPr>
          <w:sz w:val="14"/>
          <w:szCs w:val="14"/>
          <w:lang w:val="es-ES"/>
        </w:rPr>
      </w:pPr>
    </w:p>
    <w:p w14:paraId="63D90315" w14:textId="77777777" w:rsidR="00C31850" w:rsidRDefault="00C31850" w:rsidP="00C31850">
      <w:pPr>
        <w:spacing w:after="0" w:line="276" w:lineRule="auto"/>
        <w:ind w:left="284"/>
        <w:jc w:val="both"/>
        <w:rPr>
          <w:lang w:val="es-ES"/>
        </w:rPr>
      </w:pPr>
      <w:r>
        <w:rPr>
          <w:lang w:val="es-ES"/>
        </w:rPr>
        <w:t>De igual manera, es posible detectar las siguientes debilidades y amenazas:</w:t>
      </w:r>
    </w:p>
    <w:p w14:paraId="2C344ACE" w14:textId="77777777" w:rsidR="00C31850" w:rsidRPr="00C31850" w:rsidRDefault="00C31850" w:rsidP="00C31850">
      <w:pPr>
        <w:pStyle w:val="Prrafodelista"/>
        <w:numPr>
          <w:ilvl w:val="0"/>
          <w:numId w:val="2"/>
        </w:numPr>
        <w:spacing w:after="0" w:line="276" w:lineRule="auto"/>
        <w:jc w:val="both"/>
      </w:pPr>
      <w:r w:rsidRPr="00C31850">
        <w:t>Las ROP presentadas no se encuentran publicadas en el Periódico oficial.</w:t>
      </w:r>
    </w:p>
    <w:p w14:paraId="11E7CD25" w14:textId="77777777" w:rsidR="0016726F" w:rsidRDefault="00C31850" w:rsidP="0016726F">
      <w:pPr>
        <w:pStyle w:val="Prrafodelista"/>
        <w:numPr>
          <w:ilvl w:val="0"/>
          <w:numId w:val="2"/>
        </w:numPr>
        <w:spacing w:after="0" w:line="276" w:lineRule="auto"/>
        <w:jc w:val="both"/>
      </w:pPr>
      <w:r w:rsidRPr="00C31850">
        <w:t>No se cuenta con una MIR.</w:t>
      </w:r>
    </w:p>
    <w:p w14:paraId="76A64F9A" w14:textId="6D6737E6" w:rsidR="00113BCD" w:rsidRPr="009E19EA" w:rsidRDefault="009E19EA" w:rsidP="0016726F">
      <w:pPr>
        <w:pStyle w:val="Prrafodelista"/>
        <w:numPr>
          <w:ilvl w:val="0"/>
          <w:numId w:val="2"/>
        </w:numPr>
        <w:spacing w:after="0" w:line="276" w:lineRule="auto"/>
        <w:jc w:val="both"/>
      </w:pPr>
      <w:r w:rsidRPr="009E19EA">
        <w:t>Se difunde poca información y/o documentación normativa relevante sobre el proyecto en páginas de internet.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35E41198" w:rsidR="00B72B03" w:rsidRDefault="00B72B03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</w:p>
    <w:p w14:paraId="258A3A3A" w14:textId="0A43E4E5" w:rsidR="00D829E6" w:rsidRPr="00D829E6" w:rsidRDefault="00D829E6" w:rsidP="00D829E6">
      <w:pPr>
        <w:pStyle w:val="Prrafodelista"/>
        <w:numPr>
          <w:ilvl w:val="0"/>
          <w:numId w:val="8"/>
        </w:numPr>
        <w:spacing w:line="276" w:lineRule="auto"/>
      </w:pPr>
      <w:r w:rsidRPr="00D829E6">
        <w:t>Recibe solicitudes todo el año</w:t>
      </w:r>
      <w:r>
        <w:t>.</w:t>
      </w:r>
    </w:p>
    <w:p w14:paraId="42E8951E" w14:textId="3D20E946" w:rsidR="00D829E6" w:rsidRPr="00D829E6" w:rsidRDefault="00D829E6" w:rsidP="00D829E6">
      <w:pPr>
        <w:pStyle w:val="Prrafodelista"/>
        <w:numPr>
          <w:ilvl w:val="0"/>
          <w:numId w:val="8"/>
        </w:numPr>
        <w:spacing w:line="276" w:lineRule="auto"/>
      </w:pPr>
      <w:r w:rsidRPr="00D829E6">
        <w:t>Apoya a la capitalización de las empresas con activos productivos</w:t>
      </w:r>
      <w:r>
        <w:t>.</w:t>
      </w:r>
    </w:p>
    <w:p w14:paraId="6FAD75C4" w14:textId="37877FB0" w:rsidR="00D829E6" w:rsidRPr="00D829E6" w:rsidRDefault="00D829E6" w:rsidP="00D829E6">
      <w:pPr>
        <w:pStyle w:val="Prrafodelista"/>
        <w:numPr>
          <w:ilvl w:val="0"/>
          <w:numId w:val="8"/>
        </w:numPr>
        <w:spacing w:line="276" w:lineRule="auto"/>
      </w:pPr>
      <w:r w:rsidRPr="00D829E6">
        <w:t>Mejora la eficiencia de los procesos de las empresas</w:t>
      </w:r>
      <w:r>
        <w:t>.</w:t>
      </w:r>
    </w:p>
    <w:p w14:paraId="6C8BC02F" w14:textId="6ECBD4B0" w:rsidR="00D829E6" w:rsidRPr="00D829E6" w:rsidRDefault="00D829E6" w:rsidP="00D829E6">
      <w:pPr>
        <w:pStyle w:val="Prrafodelista"/>
        <w:numPr>
          <w:ilvl w:val="0"/>
          <w:numId w:val="8"/>
        </w:numPr>
        <w:spacing w:line="276" w:lineRule="auto"/>
      </w:pPr>
      <w:r w:rsidRPr="00D829E6">
        <w:t>Mejora la eficacia de los procesos de las empresas</w:t>
      </w:r>
      <w:r>
        <w:t>.</w:t>
      </w:r>
    </w:p>
    <w:p w14:paraId="4858BF23" w14:textId="7013E148" w:rsidR="00D829E6" w:rsidRPr="00D829E6" w:rsidRDefault="00D829E6" w:rsidP="00D829E6">
      <w:pPr>
        <w:pStyle w:val="Prrafodelista"/>
        <w:numPr>
          <w:ilvl w:val="0"/>
          <w:numId w:val="8"/>
        </w:numPr>
        <w:spacing w:line="276" w:lineRule="auto"/>
      </w:pPr>
      <w:r w:rsidRPr="00D829E6">
        <w:t>Contribuye a incrementar las ventas de las empresas</w:t>
      </w:r>
      <w:r>
        <w:t>.</w:t>
      </w:r>
    </w:p>
    <w:p w14:paraId="0983D7BA" w14:textId="0415ED28" w:rsidR="00B72B03" w:rsidRPr="00B72B03" w:rsidRDefault="00D829E6" w:rsidP="00D829E6">
      <w:pPr>
        <w:pStyle w:val="Prrafodelista"/>
        <w:numPr>
          <w:ilvl w:val="0"/>
          <w:numId w:val="8"/>
        </w:numPr>
        <w:spacing w:line="276" w:lineRule="auto"/>
      </w:pPr>
      <w:r w:rsidRPr="00D829E6">
        <w:t>Contribuye a disminuir los gastos de las empresas</w:t>
      </w:r>
      <w:r>
        <w:t>.</w:t>
      </w:r>
    </w:p>
    <w:p w14:paraId="3A39C1FA" w14:textId="72695A5D" w:rsidR="003E1018" w:rsidRPr="00975299" w:rsidRDefault="003E1018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975299">
        <w:rPr>
          <w:b/>
          <w:bCs/>
        </w:rPr>
        <w:t xml:space="preserve">Oportunidades: </w:t>
      </w:r>
    </w:p>
    <w:p w14:paraId="5E644A1E" w14:textId="6DDA2BC3" w:rsidR="00D829E6" w:rsidRPr="00D829E6" w:rsidRDefault="00D829E6" w:rsidP="00D829E6">
      <w:pPr>
        <w:pStyle w:val="Prrafodelista"/>
        <w:numPr>
          <w:ilvl w:val="0"/>
          <w:numId w:val="8"/>
        </w:numPr>
        <w:spacing w:line="276" w:lineRule="auto"/>
      </w:pPr>
      <w:r w:rsidRPr="00D829E6">
        <w:t>Ampliar el presupuesto anual</w:t>
      </w:r>
      <w:r>
        <w:t>.</w:t>
      </w:r>
    </w:p>
    <w:p w14:paraId="487C588F" w14:textId="42F3BBDC" w:rsidR="00D829E6" w:rsidRPr="00D829E6" w:rsidRDefault="00D829E6" w:rsidP="00D829E6">
      <w:pPr>
        <w:pStyle w:val="Prrafodelista"/>
        <w:numPr>
          <w:ilvl w:val="0"/>
          <w:numId w:val="8"/>
        </w:numPr>
        <w:spacing w:line="276" w:lineRule="auto"/>
      </w:pPr>
      <w:r w:rsidRPr="00D829E6">
        <w:t>Incluir datos socioeconómicos en la base de datos de los solicitantes y beneficiarios</w:t>
      </w:r>
      <w:r>
        <w:t>.</w:t>
      </w:r>
    </w:p>
    <w:p w14:paraId="655E42DC" w14:textId="5B6822EA" w:rsidR="00D829E6" w:rsidRPr="00D829E6" w:rsidRDefault="00D829E6" w:rsidP="00D829E6">
      <w:pPr>
        <w:pStyle w:val="Prrafodelista"/>
        <w:numPr>
          <w:ilvl w:val="0"/>
          <w:numId w:val="8"/>
        </w:numPr>
        <w:spacing w:line="276" w:lineRule="auto"/>
      </w:pPr>
      <w:r w:rsidRPr="00D829E6">
        <w:t>Generar apertura a diferentes giros</w:t>
      </w:r>
      <w:r>
        <w:t>.</w:t>
      </w:r>
    </w:p>
    <w:p w14:paraId="6C37D4C0" w14:textId="32422288" w:rsidR="00D829E6" w:rsidRPr="00D829E6" w:rsidRDefault="00D829E6" w:rsidP="00D829E6">
      <w:pPr>
        <w:pStyle w:val="Prrafodelista"/>
        <w:numPr>
          <w:ilvl w:val="0"/>
          <w:numId w:val="8"/>
        </w:numPr>
        <w:spacing w:line="276" w:lineRule="auto"/>
      </w:pPr>
      <w:r w:rsidRPr="00D829E6">
        <w:t>Incluir modalidades enfoc</w:t>
      </w:r>
      <w:r>
        <w:t>adas en tecnología e innovación.</w:t>
      </w:r>
    </w:p>
    <w:p w14:paraId="34E9B9FE" w14:textId="58CD65BA" w:rsidR="00D829E6" w:rsidRPr="00D829E6" w:rsidRDefault="00D829E6" w:rsidP="00D829E6">
      <w:pPr>
        <w:pStyle w:val="Prrafodelista"/>
        <w:numPr>
          <w:ilvl w:val="0"/>
          <w:numId w:val="8"/>
        </w:numPr>
        <w:spacing w:line="276" w:lineRule="auto"/>
      </w:pPr>
      <w:r w:rsidRPr="00D829E6">
        <w:lastRenderedPageBreak/>
        <w:t xml:space="preserve">Generar alianzas </w:t>
      </w:r>
      <w:r>
        <w:t>estratégicas.</w:t>
      </w:r>
    </w:p>
    <w:p w14:paraId="5B3242D7" w14:textId="77777777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Debilidades:</w:t>
      </w:r>
    </w:p>
    <w:p w14:paraId="50AA0DC2" w14:textId="76442A56" w:rsidR="00D829E6" w:rsidRPr="00D829E6" w:rsidRDefault="00D829E6" w:rsidP="00D829E6">
      <w:pPr>
        <w:pStyle w:val="Prrafodelista"/>
        <w:numPr>
          <w:ilvl w:val="0"/>
          <w:numId w:val="8"/>
        </w:numPr>
        <w:spacing w:line="276" w:lineRule="auto"/>
      </w:pPr>
      <w:r w:rsidRPr="00D829E6">
        <w:t>Presupuesto limitado</w:t>
      </w:r>
      <w:r>
        <w:t>.</w:t>
      </w:r>
    </w:p>
    <w:p w14:paraId="26DE9ECC" w14:textId="562768F1" w:rsidR="00D829E6" w:rsidRPr="00D829E6" w:rsidRDefault="00D829E6" w:rsidP="00D829E6">
      <w:pPr>
        <w:pStyle w:val="Prrafodelista"/>
        <w:numPr>
          <w:ilvl w:val="0"/>
          <w:numId w:val="8"/>
        </w:numPr>
        <w:spacing w:line="276" w:lineRule="auto"/>
      </w:pPr>
      <w:r>
        <w:t>Falta de bodega.</w:t>
      </w:r>
    </w:p>
    <w:p w14:paraId="457ED159" w14:textId="0D0B4310" w:rsidR="00D829E6" w:rsidRPr="00D829E6" w:rsidRDefault="00D829E6" w:rsidP="00D829E6">
      <w:pPr>
        <w:pStyle w:val="Prrafodelista"/>
        <w:numPr>
          <w:ilvl w:val="0"/>
          <w:numId w:val="8"/>
        </w:numPr>
        <w:spacing w:line="276" w:lineRule="auto"/>
      </w:pPr>
      <w:r w:rsidRPr="00D829E6">
        <w:t>Falta de vehículos para el traslado de los equipos y personal a las zonas de difícil acceso</w:t>
      </w:r>
      <w:r>
        <w:t>.</w:t>
      </w:r>
    </w:p>
    <w:p w14:paraId="2D3229FC" w14:textId="55E37788" w:rsidR="00D829E6" w:rsidRPr="00D829E6" w:rsidRDefault="00D829E6" w:rsidP="00D829E6">
      <w:pPr>
        <w:pStyle w:val="Prrafodelista"/>
        <w:numPr>
          <w:ilvl w:val="0"/>
          <w:numId w:val="8"/>
        </w:numPr>
        <w:spacing w:line="276" w:lineRule="auto"/>
      </w:pPr>
      <w:r>
        <w:t>Falta de personal.</w:t>
      </w:r>
    </w:p>
    <w:p w14:paraId="22DADFD3" w14:textId="3FF56475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Amenazas:</w:t>
      </w:r>
    </w:p>
    <w:p w14:paraId="4A210F12" w14:textId="5A1397C5" w:rsidR="00D829E6" w:rsidRPr="00D829E6" w:rsidRDefault="00D829E6" w:rsidP="00D829E6">
      <w:pPr>
        <w:pStyle w:val="Prrafodelista"/>
        <w:numPr>
          <w:ilvl w:val="0"/>
          <w:numId w:val="8"/>
        </w:numPr>
        <w:spacing w:line="276" w:lineRule="auto"/>
      </w:pPr>
      <w:r>
        <w:t>La disminución del presupuesto.</w:t>
      </w:r>
    </w:p>
    <w:p w14:paraId="714C0AEA" w14:textId="40BE924E" w:rsidR="00D829E6" w:rsidRPr="00D829E6" w:rsidRDefault="00D829E6" w:rsidP="00D829E6">
      <w:pPr>
        <w:pStyle w:val="Prrafodelista"/>
        <w:numPr>
          <w:ilvl w:val="0"/>
          <w:numId w:val="8"/>
        </w:numPr>
        <w:spacing w:line="276" w:lineRule="auto"/>
      </w:pPr>
      <w:r>
        <w:t>Desaparición del programa.</w:t>
      </w:r>
    </w:p>
    <w:p w14:paraId="0D4BA9FF" w14:textId="2B58E7FD" w:rsidR="00D829E6" w:rsidRPr="00D829E6" w:rsidRDefault="00D829E6" w:rsidP="00D829E6">
      <w:pPr>
        <w:pStyle w:val="Prrafodelista"/>
        <w:numPr>
          <w:ilvl w:val="0"/>
          <w:numId w:val="8"/>
        </w:numPr>
        <w:spacing w:line="276" w:lineRule="auto"/>
      </w:pPr>
      <w:r>
        <w:t>Crisis económica.</w:t>
      </w:r>
    </w:p>
    <w:p w14:paraId="30BA35DA" w14:textId="39697654" w:rsidR="00AF2993" w:rsidRDefault="00AF2993" w:rsidP="006F5149">
      <w:pPr>
        <w:spacing w:after="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C2D3A">
        <w:trPr>
          <w:trHeight w:val="340"/>
        </w:trPr>
        <w:tc>
          <w:tcPr>
            <w:tcW w:w="9910" w:type="dxa"/>
            <w:shd w:val="clear" w:color="auto" w:fill="404040" w:themeFill="text1" w:themeFillTint="BF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63A7A072" w14:textId="77777777" w:rsidR="006C60C1" w:rsidRDefault="00C31850" w:rsidP="006C60C1">
      <w:pPr>
        <w:spacing w:after="0" w:line="276" w:lineRule="auto"/>
        <w:ind w:left="284"/>
        <w:jc w:val="both"/>
      </w:pPr>
      <w:r>
        <w:t>La ED se basa en responder 30 preguntas que abordan los temas de diseño y se divide en siete apartados, además, en la elaboración de diversos anexos</w:t>
      </w:r>
      <w:r w:rsidR="006C60C1">
        <w:t xml:space="preserve">. </w:t>
      </w:r>
    </w:p>
    <w:p w14:paraId="0B6DB74E" w14:textId="77777777" w:rsidR="006C60C1" w:rsidRDefault="006C60C1" w:rsidP="006C60C1">
      <w:pPr>
        <w:spacing w:after="0" w:line="276" w:lineRule="auto"/>
        <w:ind w:left="284"/>
        <w:jc w:val="both"/>
      </w:pPr>
      <w:r>
        <w:t>De las 30 preguntas, 24 deben ser respondidas mediante un esquema binario (SÍ/NO) sustentando con evidencia documental y haciendo explícitos los principales argumentos empleados en el análisis. Estas preguntas presentan diversos niveles de respuesta cuya puntuación más alta es de 4 y la mínima de 0 cuando la respuesta es no.</w:t>
      </w:r>
    </w:p>
    <w:p w14:paraId="57CA1BBA" w14:textId="59FA2E16" w:rsidR="006C60C1" w:rsidRDefault="006C60C1" w:rsidP="006C60C1">
      <w:pPr>
        <w:spacing w:after="0" w:line="276" w:lineRule="auto"/>
        <w:ind w:left="284"/>
        <w:jc w:val="both"/>
      </w:pPr>
      <w:r>
        <w:t xml:space="preserve">Con base en las preguntas que tienen una repuesta binaria y que presentan una calificación se obtuvieron los resultados anotados en el siguiente cuadro. Como se puede observar, la puntuación global es de </w:t>
      </w:r>
      <w:r w:rsidR="0016726F">
        <w:rPr>
          <w:b/>
        </w:rPr>
        <w:t>2.</w:t>
      </w:r>
      <w:r w:rsidR="009E19EA">
        <w:rPr>
          <w:b/>
        </w:rPr>
        <w:t>1</w:t>
      </w:r>
      <w:r w:rsidR="0016726F">
        <w:rPr>
          <w:b/>
        </w:rPr>
        <w:t>7</w:t>
      </w:r>
      <w:r>
        <w:t xml:space="preserve"> sobre una calificación máxima de 4 para cada uno de los temas, sin embargo, es preciso anotar la calificación que se obtuvo en los siete apartados, como se muestra a continuación:</w:t>
      </w:r>
    </w:p>
    <w:p w14:paraId="577EB8E5" w14:textId="351D7816" w:rsidR="006C60C1" w:rsidRDefault="006C60C1" w:rsidP="00C31850">
      <w:pPr>
        <w:spacing w:after="0" w:line="276" w:lineRule="auto"/>
        <w:ind w:left="284"/>
        <w:jc w:val="both"/>
        <w:rPr>
          <w:lang w:val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16"/>
        <w:gridCol w:w="2455"/>
      </w:tblGrid>
      <w:tr w:rsidR="006C60C1" w14:paraId="1A6B4DB6" w14:textId="77777777" w:rsidTr="006C60C1">
        <w:trPr>
          <w:trHeight w:val="397"/>
          <w:jc w:val="center"/>
        </w:trPr>
        <w:tc>
          <w:tcPr>
            <w:tcW w:w="6516" w:type="dxa"/>
            <w:shd w:val="clear" w:color="auto" w:fill="404040" w:themeFill="text1" w:themeFillTint="BF"/>
            <w:vAlign w:val="center"/>
          </w:tcPr>
          <w:p w14:paraId="6A7C4F6C" w14:textId="77777777" w:rsidR="006C60C1" w:rsidRPr="00831510" w:rsidRDefault="006C60C1" w:rsidP="004F4964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 w:rsidRPr="00831510">
              <w:rPr>
                <w:color w:val="FFFFFF" w:themeColor="background1"/>
              </w:rPr>
              <w:t>Tema</w:t>
            </w:r>
          </w:p>
        </w:tc>
        <w:tc>
          <w:tcPr>
            <w:tcW w:w="2455" w:type="dxa"/>
            <w:shd w:val="clear" w:color="auto" w:fill="404040" w:themeFill="text1" w:themeFillTint="BF"/>
            <w:vAlign w:val="center"/>
          </w:tcPr>
          <w:p w14:paraId="3DFFD3C0" w14:textId="77777777" w:rsidR="006C60C1" w:rsidRPr="00831510" w:rsidRDefault="006C60C1" w:rsidP="004F4964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 w:rsidRPr="00831510">
              <w:rPr>
                <w:color w:val="FFFFFF" w:themeColor="background1"/>
              </w:rPr>
              <w:t>Calificación ponderada</w:t>
            </w:r>
          </w:p>
        </w:tc>
      </w:tr>
      <w:tr w:rsidR="006C60C1" w14:paraId="253257D0" w14:textId="77777777" w:rsidTr="006C60C1">
        <w:trPr>
          <w:trHeight w:val="20"/>
          <w:jc w:val="center"/>
        </w:trPr>
        <w:tc>
          <w:tcPr>
            <w:tcW w:w="6516" w:type="dxa"/>
            <w:vAlign w:val="center"/>
          </w:tcPr>
          <w:p w14:paraId="2190F43E" w14:textId="77777777" w:rsidR="006C60C1" w:rsidRDefault="006C60C1" w:rsidP="004F4964">
            <w:pPr>
              <w:spacing w:after="0" w:line="240" w:lineRule="auto"/>
            </w:pPr>
            <w:r w:rsidRPr="006D6278">
              <w:t>Justificación de la creación y del diseño del programa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50F6C00B" w14:textId="77777777" w:rsidR="006C60C1" w:rsidRDefault="006C60C1" w:rsidP="004F4964">
            <w:pPr>
              <w:spacing w:after="0" w:line="240" w:lineRule="auto"/>
              <w:jc w:val="center"/>
            </w:pPr>
            <w:r>
              <w:t>2.00</w:t>
            </w:r>
          </w:p>
        </w:tc>
      </w:tr>
      <w:tr w:rsidR="006C60C1" w14:paraId="16CDEBAB" w14:textId="77777777" w:rsidTr="006C60C1">
        <w:trPr>
          <w:trHeight w:val="20"/>
          <w:jc w:val="center"/>
        </w:trPr>
        <w:tc>
          <w:tcPr>
            <w:tcW w:w="6516" w:type="dxa"/>
            <w:vAlign w:val="center"/>
          </w:tcPr>
          <w:p w14:paraId="175F9D08" w14:textId="77777777" w:rsidR="006C60C1" w:rsidRDefault="006C60C1" w:rsidP="004F4964">
            <w:pPr>
              <w:spacing w:after="0" w:line="240" w:lineRule="auto"/>
            </w:pPr>
            <w:r w:rsidRPr="006D6278">
              <w:t>Contribución a la meta y objetivos nacionales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4A1806E9" w14:textId="77777777" w:rsidR="006C60C1" w:rsidRDefault="006C60C1" w:rsidP="004F4964">
            <w:pPr>
              <w:spacing w:after="0" w:line="240" w:lineRule="auto"/>
              <w:jc w:val="center"/>
            </w:pPr>
            <w:r>
              <w:t>4.00</w:t>
            </w:r>
          </w:p>
        </w:tc>
      </w:tr>
      <w:tr w:rsidR="006C60C1" w14:paraId="2DB755B9" w14:textId="77777777" w:rsidTr="006C60C1">
        <w:trPr>
          <w:trHeight w:val="20"/>
          <w:jc w:val="center"/>
        </w:trPr>
        <w:tc>
          <w:tcPr>
            <w:tcW w:w="6516" w:type="dxa"/>
            <w:vAlign w:val="center"/>
          </w:tcPr>
          <w:p w14:paraId="74D6BC7C" w14:textId="77777777" w:rsidR="006C60C1" w:rsidRDefault="006C60C1" w:rsidP="004F4964">
            <w:pPr>
              <w:spacing w:after="0" w:line="240" w:lineRule="auto"/>
            </w:pPr>
            <w:r w:rsidRPr="006D6278">
              <w:t>Población potencial, objetivo y mecanismos de elegibilidad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6D09D82E" w14:textId="7D2C1370" w:rsidR="006C60C1" w:rsidRDefault="009E19EA" w:rsidP="004F4964">
            <w:pPr>
              <w:spacing w:after="0" w:line="240" w:lineRule="auto"/>
              <w:jc w:val="center"/>
            </w:pPr>
            <w:r>
              <w:t>3.20</w:t>
            </w:r>
          </w:p>
        </w:tc>
      </w:tr>
      <w:tr w:rsidR="006C60C1" w14:paraId="39DF32BF" w14:textId="77777777" w:rsidTr="006C60C1">
        <w:trPr>
          <w:trHeight w:val="20"/>
          <w:jc w:val="center"/>
        </w:trPr>
        <w:tc>
          <w:tcPr>
            <w:tcW w:w="6516" w:type="dxa"/>
            <w:vAlign w:val="center"/>
          </w:tcPr>
          <w:p w14:paraId="6D605B2B" w14:textId="77777777" w:rsidR="006C60C1" w:rsidRDefault="006C60C1" w:rsidP="004F4964">
            <w:pPr>
              <w:spacing w:after="0" w:line="240" w:lineRule="auto"/>
            </w:pPr>
            <w:r w:rsidRPr="006D6278">
              <w:t>Padrón de beneficiarios y mecanismos de atención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24966CF8" w14:textId="77777777" w:rsidR="006C60C1" w:rsidRDefault="006C60C1" w:rsidP="004F4964">
            <w:pPr>
              <w:spacing w:after="0" w:line="240" w:lineRule="auto"/>
              <w:jc w:val="center"/>
            </w:pPr>
            <w:r>
              <w:t>2.50</w:t>
            </w:r>
          </w:p>
        </w:tc>
      </w:tr>
      <w:tr w:rsidR="006C60C1" w14:paraId="03020F96" w14:textId="77777777" w:rsidTr="006C60C1">
        <w:trPr>
          <w:trHeight w:val="20"/>
          <w:jc w:val="center"/>
        </w:trPr>
        <w:tc>
          <w:tcPr>
            <w:tcW w:w="6516" w:type="dxa"/>
            <w:vAlign w:val="center"/>
          </w:tcPr>
          <w:p w14:paraId="42AA9C42" w14:textId="77777777" w:rsidR="006C60C1" w:rsidRDefault="006C60C1" w:rsidP="004F4964">
            <w:pPr>
              <w:spacing w:after="0" w:line="240" w:lineRule="auto"/>
            </w:pPr>
            <w:r w:rsidRPr="006D6278">
              <w:t>Matriz de Indicadores para Resultados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263965C5" w14:textId="77777777" w:rsidR="006C60C1" w:rsidRDefault="006C60C1" w:rsidP="004F4964">
            <w:pPr>
              <w:spacing w:after="0" w:line="240" w:lineRule="auto"/>
              <w:jc w:val="center"/>
            </w:pPr>
            <w:r>
              <w:t>0.00</w:t>
            </w:r>
          </w:p>
        </w:tc>
      </w:tr>
      <w:tr w:rsidR="006C60C1" w14:paraId="43797266" w14:textId="77777777" w:rsidTr="006C60C1">
        <w:trPr>
          <w:trHeight w:val="20"/>
          <w:jc w:val="center"/>
        </w:trPr>
        <w:tc>
          <w:tcPr>
            <w:tcW w:w="6516" w:type="dxa"/>
            <w:vAlign w:val="center"/>
          </w:tcPr>
          <w:p w14:paraId="011C98E1" w14:textId="77777777" w:rsidR="006C60C1" w:rsidRDefault="006C60C1" w:rsidP="004F4964">
            <w:pPr>
              <w:spacing w:after="0" w:line="240" w:lineRule="auto"/>
            </w:pPr>
            <w:r w:rsidRPr="006D6278">
              <w:t>Presupuesto y rendición de cuentas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4121A9BC" w14:textId="76F81292" w:rsidR="006C60C1" w:rsidRDefault="0016726F" w:rsidP="004F4964">
            <w:pPr>
              <w:spacing w:after="0" w:line="240" w:lineRule="auto"/>
              <w:jc w:val="center"/>
            </w:pPr>
            <w:r>
              <w:t>1.33</w:t>
            </w:r>
          </w:p>
        </w:tc>
      </w:tr>
      <w:tr w:rsidR="006C60C1" w14:paraId="500BCCD0" w14:textId="77777777" w:rsidTr="006C60C1">
        <w:trPr>
          <w:trHeight w:val="20"/>
          <w:jc w:val="center"/>
        </w:trPr>
        <w:tc>
          <w:tcPr>
            <w:tcW w:w="6516" w:type="dxa"/>
            <w:vAlign w:val="center"/>
          </w:tcPr>
          <w:p w14:paraId="25268960" w14:textId="77777777" w:rsidR="006C60C1" w:rsidRDefault="006C60C1" w:rsidP="004F4964">
            <w:pPr>
              <w:spacing w:after="0" w:line="240" w:lineRule="auto"/>
            </w:pPr>
            <w:r w:rsidRPr="006D6278">
              <w:t>Complementariedades y coincidencias con otros programas federales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5270E4F1" w14:textId="77777777" w:rsidR="006C60C1" w:rsidRDefault="006C60C1" w:rsidP="004F4964">
            <w:pPr>
              <w:spacing w:after="0" w:line="240" w:lineRule="auto"/>
              <w:jc w:val="center"/>
            </w:pPr>
            <w:r>
              <w:t>N/A</w:t>
            </w:r>
          </w:p>
        </w:tc>
      </w:tr>
      <w:tr w:rsidR="006C60C1" w14:paraId="2F644868" w14:textId="77777777" w:rsidTr="006C60C1">
        <w:trPr>
          <w:trHeight w:val="20"/>
          <w:jc w:val="center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6FBD2A8A" w14:textId="77777777" w:rsidR="006C60C1" w:rsidRDefault="006C60C1" w:rsidP="004F4964">
            <w:pPr>
              <w:spacing w:after="0" w:line="240" w:lineRule="auto"/>
              <w:jc w:val="right"/>
            </w:pPr>
            <w:r>
              <w:t>Valoración final</w:t>
            </w:r>
          </w:p>
        </w:tc>
        <w:tc>
          <w:tcPr>
            <w:tcW w:w="2455" w:type="dxa"/>
            <w:shd w:val="clear" w:color="auto" w:fill="F2F2F2" w:themeFill="background1" w:themeFillShade="F2"/>
            <w:vAlign w:val="center"/>
          </w:tcPr>
          <w:p w14:paraId="4715EE50" w14:textId="03816E4F" w:rsidR="006C60C1" w:rsidRDefault="0016726F" w:rsidP="004F4964">
            <w:pPr>
              <w:spacing w:after="0" w:line="240" w:lineRule="auto"/>
              <w:jc w:val="center"/>
            </w:pPr>
            <w:r>
              <w:t>2.</w:t>
            </w:r>
            <w:r w:rsidR="009E19EA">
              <w:t>1</w:t>
            </w:r>
            <w:r>
              <w:t>7</w:t>
            </w:r>
          </w:p>
        </w:tc>
      </w:tr>
    </w:tbl>
    <w:p w14:paraId="4694C27A" w14:textId="27A30328" w:rsidR="006C60C1" w:rsidRDefault="006C60C1" w:rsidP="006C60C1">
      <w:pPr>
        <w:spacing w:after="0" w:line="276" w:lineRule="auto"/>
        <w:ind w:left="284"/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6C60C1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5702BAA6" w14:textId="77777777" w:rsidR="009E19EA" w:rsidRDefault="009E19EA" w:rsidP="009E19EA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 xml:space="preserve">Incluir el proceso de revisión y actualización de las poblaciones (potencial, objetivo y atendida). </w:t>
      </w:r>
    </w:p>
    <w:p w14:paraId="1EBF4D32" w14:textId="77777777" w:rsidR="009E19EA" w:rsidRDefault="009E19EA" w:rsidP="009E19EA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Publicar las ROP en el Periódico oficial.</w:t>
      </w:r>
    </w:p>
    <w:p w14:paraId="2C01374E" w14:textId="77777777" w:rsidR="009E19EA" w:rsidRDefault="009E19EA" w:rsidP="009E19EA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Incluir el proceso de revisión y actualización en el diagnóstico del problema.</w:t>
      </w:r>
    </w:p>
    <w:p w14:paraId="45B37165" w14:textId="77777777" w:rsidR="009E19EA" w:rsidRDefault="009E19EA" w:rsidP="009E19EA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Realizar una MIR.</w:t>
      </w:r>
    </w:p>
    <w:p w14:paraId="29B4703B" w14:textId="41265F1D" w:rsidR="006E67EA" w:rsidRPr="006E67EA" w:rsidRDefault="009E19EA" w:rsidP="009E19EA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lastRenderedPageBreak/>
        <w:t>Publicar y actualizar los documentos normativos, documentos necesarios, así como los resultados del proyecto en una página de internet.</w:t>
      </w:r>
    </w:p>
    <w:p w14:paraId="6875A774" w14:textId="77777777" w:rsidR="000D2A1A" w:rsidRDefault="000D2A1A" w:rsidP="00A165BB">
      <w:pPr>
        <w:spacing w:after="0" w:line="276" w:lineRule="auto"/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133709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B0F2C" w14:textId="512DBB45" w:rsidR="006C747D" w:rsidRPr="00133709" w:rsidRDefault="00C31850" w:rsidP="00521401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C747D" w:rsidRPr="006C747D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133709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AE66A" w14:textId="77777777" w:rsidR="006C747D" w:rsidRPr="00133709" w:rsidRDefault="00133709" w:rsidP="00521401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C747D" w:rsidRPr="006C747D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C747D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0C5F0" w14:textId="77777777" w:rsidR="006C747D" w:rsidRPr="00133709" w:rsidRDefault="00133709" w:rsidP="00521401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C747D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C747D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A3B6" w14:textId="77777777" w:rsidR="006C747D" w:rsidRPr="00133709" w:rsidRDefault="00133709" w:rsidP="00521401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C747D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C747D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94494" w14:textId="7A0C9EDB" w:rsidR="006C747D" w:rsidRPr="00133709" w:rsidRDefault="000C5B5B" w:rsidP="00521401">
            <w:pPr>
              <w:spacing w:after="0" w:line="276" w:lineRule="auto"/>
              <w:ind w:left="179"/>
            </w:pPr>
            <w:hyperlink r:id="rId8" w:history="1">
              <w:r w:rsidR="00C31850" w:rsidRPr="00F47975">
                <w:rPr>
                  <w:rStyle w:val="Hipervnculo"/>
                </w:rPr>
                <w:t>juan.millan@sinaloa.gob.mx</w:t>
              </w:r>
            </w:hyperlink>
            <w:r w:rsidR="00C31850">
              <w:t xml:space="preserve"> </w:t>
            </w:r>
          </w:p>
        </w:tc>
      </w:tr>
      <w:tr w:rsidR="006C747D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C747D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B6A92" w14:textId="77777777" w:rsidR="006C747D" w:rsidRPr="00133709" w:rsidRDefault="006C747D" w:rsidP="00521401">
            <w:pPr>
              <w:spacing w:after="0" w:line="276" w:lineRule="auto"/>
              <w:ind w:left="179"/>
            </w:pPr>
            <w:r w:rsidRPr="007301C5">
              <w:t>(667)</w:t>
            </w:r>
            <w:r w:rsidR="00133709">
              <w:t xml:space="preserve"> 758 7000 Ext. 1493</w:t>
            </w: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44738BAF" w14:textId="4E792A7C" w:rsidR="007C4CD6" w:rsidRPr="00521401" w:rsidRDefault="00C31850" w:rsidP="00521401">
            <w:pPr>
              <w:spacing w:after="0" w:line="276" w:lineRule="auto"/>
              <w:ind w:left="179"/>
            </w:pPr>
            <w:r>
              <w:t>S</w:t>
            </w:r>
            <w:r w:rsidRPr="0094737F">
              <w:t>inaloenses productivos</w:t>
            </w:r>
          </w:p>
        </w:tc>
      </w:tr>
      <w:tr w:rsidR="007C4CD6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EA460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0850CE8D" w14:textId="3CBEE217" w:rsidR="007C4CD6" w:rsidRPr="007C4CD6" w:rsidRDefault="00C31850" w:rsidP="00521401">
            <w:pPr>
              <w:spacing w:after="0" w:line="276" w:lineRule="auto"/>
              <w:ind w:left="179"/>
            </w:pPr>
            <w:r>
              <w:t>SP</w:t>
            </w:r>
          </w:p>
        </w:tc>
      </w:tr>
      <w:tr w:rsidR="007C4CD6" w:rsidRPr="007C4CD6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0777E431" w14:textId="77777777" w:rsidTr="0008479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53808F" w14:textId="7D769B3E" w:rsidR="007C4CD6" w:rsidRPr="007C4CD6" w:rsidRDefault="006C60C1" w:rsidP="00521401">
            <w:pPr>
              <w:spacing w:after="0" w:line="276" w:lineRule="auto"/>
              <w:ind w:left="179"/>
            </w:pPr>
            <w:r w:rsidRPr="006C60C1">
              <w:t>Secretaría de Economía</w:t>
            </w:r>
          </w:p>
        </w:tc>
      </w:tr>
      <w:tr w:rsidR="007C4CD6" w:rsidRPr="007C4CD6" w14:paraId="655B10C7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9E19EA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43D369B0" w14:textId="498297F1" w:rsidR="005A28B9" w:rsidRPr="00A16BE7" w:rsidRDefault="009E19EA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8A5616" w14:textId="4F6A786F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9E19EA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06EEC80E" w14:textId="320BC9B3" w:rsidR="00090637" w:rsidRPr="00D913D9" w:rsidRDefault="009E19EA" w:rsidP="00287214">
            <w:pPr>
              <w:spacing w:after="0" w:line="276" w:lineRule="auto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7D875F" w14:textId="0945A701" w:rsidR="00090637" w:rsidRPr="00090637" w:rsidRDefault="009E19EA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090637">
        <w:trPr>
          <w:trHeight w:val="706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9E19EA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7091B8EA" w14:textId="726C1A50" w:rsidR="005065B9" w:rsidRPr="00521401" w:rsidRDefault="006C60C1" w:rsidP="005065B9">
            <w:pPr>
              <w:spacing w:after="0" w:line="276" w:lineRule="auto"/>
              <w:ind w:left="179"/>
            </w:pPr>
            <w:r w:rsidRPr="006C60C1">
              <w:t>Q.F.B. Salvador Gallegos Almaguer</w:t>
            </w:r>
          </w:p>
        </w:tc>
      </w:tr>
      <w:tr w:rsidR="00925C75" w:rsidRPr="00A753A2" w14:paraId="339ACE2F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6370D0DF" w14:textId="77777777" w:rsidTr="009E19EA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54E4AA94" w14:textId="3B4FF924" w:rsidR="00A4624B" w:rsidRPr="007301C5" w:rsidRDefault="000C5B5B" w:rsidP="00A4624B">
            <w:pPr>
              <w:spacing w:after="0" w:line="276" w:lineRule="auto"/>
              <w:ind w:left="179"/>
            </w:pPr>
            <w:hyperlink r:id="rId9" w:history="1">
              <w:r w:rsidRPr="005F28A9">
                <w:rPr>
                  <w:rStyle w:val="Hipervnculo"/>
                </w:rPr>
                <w:t>salvador.gallegos@sinaloa.gob.mx</w:t>
              </w:r>
            </w:hyperlink>
            <w:r>
              <w:t xml:space="preserve"> </w:t>
            </w:r>
            <w:bookmarkStart w:id="0" w:name="_GoBack"/>
            <w:bookmarkEnd w:id="0"/>
          </w:p>
        </w:tc>
      </w:tr>
      <w:tr w:rsidR="00A753A2" w:rsidRPr="00A753A2" w14:paraId="688D65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4E1FF7" w14:paraId="3C5D9DC6" w14:textId="77777777" w:rsidTr="009E19EA">
        <w:trPr>
          <w:trHeight w:val="340"/>
        </w:trPr>
        <w:tc>
          <w:tcPr>
            <w:tcW w:w="9910" w:type="dxa"/>
            <w:gridSpan w:val="3"/>
            <w:shd w:val="clear" w:color="auto" w:fill="auto"/>
            <w:vAlign w:val="center"/>
          </w:tcPr>
          <w:p w14:paraId="138DA773" w14:textId="7B32FB64" w:rsidR="004E1FF7" w:rsidRPr="007301C5" w:rsidRDefault="006C60C1" w:rsidP="006C60C1">
            <w:pPr>
              <w:spacing w:after="0" w:line="276" w:lineRule="auto"/>
              <w:ind w:left="179"/>
            </w:pPr>
            <w:r w:rsidRPr="00C12C55">
              <w:lastRenderedPageBreak/>
              <w:t>Direc</w:t>
            </w:r>
            <w:r w:rsidR="00B30417">
              <w:t>ción</w:t>
            </w:r>
            <w:r w:rsidRPr="00C12C55">
              <w:t xml:space="preserve"> de Gestión de Fondos</w:t>
            </w:r>
          </w:p>
        </w:tc>
      </w:tr>
      <w:tr w:rsidR="004E1FF7" w:rsidRPr="00A753A2" w14:paraId="70A117C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6E7A9B34" w14:textId="77777777" w:rsidR="004E1FF7" w:rsidRPr="00A753A2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4E1FF7" w14:paraId="49F6EF2F" w14:textId="77777777" w:rsidTr="009E19EA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6F19C066" w14:textId="2D9AB957" w:rsidR="004E1FF7" w:rsidRPr="007301C5" w:rsidRDefault="006C60C1" w:rsidP="004E1FF7">
            <w:pPr>
              <w:spacing w:after="0" w:line="276" w:lineRule="auto"/>
              <w:ind w:left="179"/>
            </w:pPr>
            <w:r>
              <w:t xml:space="preserve">(667) </w:t>
            </w:r>
            <w:r w:rsidR="009E19EA">
              <w:t>758 70 00 Ext. 2946</w:t>
            </w:r>
          </w:p>
        </w:tc>
      </w:tr>
    </w:tbl>
    <w:p w14:paraId="618D093C" w14:textId="77777777" w:rsidR="006F5149" w:rsidRDefault="006F5149" w:rsidP="00090637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732B5D37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6C747D" w14:paraId="163531B5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</w:t>
            </w:r>
            <w:r w:rsidR="00C61D21" w:rsidRPr="00866990">
              <w:rPr>
                <w:b/>
                <w:bCs/>
              </w:rPr>
              <w:t>especificar</w:t>
            </w:r>
            <w:r w:rsidRPr="00866990">
              <w:rPr>
                <w:b/>
                <w:bCs/>
              </w:rPr>
              <w:t>):</w:t>
            </w:r>
          </w:p>
        </w:tc>
        <w:tc>
          <w:tcPr>
            <w:tcW w:w="6649" w:type="dxa"/>
            <w:gridSpan w:val="3"/>
            <w:shd w:val="clear" w:color="auto" w:fill="auto"/>
            <w:vAlign w:val="center"/>
          </w:tcPr>
          <w:p w14:paraId="22D310B8" w14:textId="77777777" w:rsidR="00A06CEF" w:rsidRPr="00866990" w:rsidRDefault="00C61D21" w:rsidP="00A06CEF">
            <w:pPr>
              <w:spacing w:after="0" w:line="276" w:lineRule="auto"/>
            </w:pPr>
            <w:r w:rsidRPr="00866990">
              <w:t>Evaluación Interna</w:t>
            </w: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090637" w14:paraId="4305D4C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334040E1" w14:textId="3D1A5927" w:rsidR="00090637" w:rsidRPr="00866990" w:rsidRDefault="0049403E" w:rsidP="00521401">
            <w:pPr>
              <w:spacing w:after="0" w:line="276" w:lineRule="auto"/>
              <w:ind w:left="179"/>
            </w:pPr>
            <w:r>
              <w:t>No aplica (modalidad interna)</w:t>
            </w:r>
          </w:p>
        </w:tc>
      </w:tr>
      <w:tr w:rsidR="00090637" w:rsidRPr="00C61D21" w14:paraId="513CF27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1C016F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090637" w14:paraId="5CBDEAA7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2A2EB40C" w14:textId="59B0DDBD" w:rsidR="00090637" w:rsidRPr="00866990" w:rsidRDefault="0049403E" w:rsidP="00521401">
            <w:pPr>
              <w:spacing w:after="0" w:line="276" w:lineRule="auto"/>
              <w:ind w:left="179"/>
            </w:pPr>
            <w:r>
              <w:t>No aplica (modalidad interna)</w:t>
            </w:r>
          </w:p>
        </w:tc>
      </w:tr>
      <w:tr w:rsidR="00090637" w:rsidRPr="00C61D21" w14:paraId="35D311F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CDFEEA4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4C435E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64613A" w14:textId="7E0FBF29" w:rsidR="004C435E" w:rsidRPr="00866990" w:rsidRDefault="0049403E" w:rsidP="004C435E">
            <w:pPr>
              <w:spacing w:after="0" w:line="276" w:lineRule="auto"/>
              <w:ind w:left="179"/>
            </w:pPr>
            <w:r>
              <w:t>No aplica (modalidad interna)</w:t>
            </w:r>
          </w:p>
        </w:tc>
      </w:tr>
    </w:tbl>
    <w:p w14:paraId="4F8B6B6B" w14:textId="77777777" w:rsidR="002C2D3A" w:rsidRDefault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48B7EE05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2C2D3A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68472" w14:textId="77777777" w:rsidR="00790C50" w:rsidRDefault="00790C50" w:rsidP="008E5209">
      <w:pPr>
        <w:spacing w:after="0" w:line="240" w:lineRule="auto"/>
      </w:pPr>
      <w:r>
        <w:separator/>
      </w:r>
    </w:p>
  </w:endnote>
  <w:endnote w:type="continuationSeparator" w:id="0">
    <w:p w14:paraId="411F266A" w14:textId="77777777" w:rsidR="00790C50" w:rsidRDefault="00790C50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008BC720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0C5B5B">
          <w:rPr>
            <w:b/>
            <w:bCs/>
            <w:noProof/>
            <w:sz w:val="18"/>
            <w:szCs w:val="18"/>
          </w:rPr>
          <w:t>5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3B6305BD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0C5B5B" w:rsidRPr="000C5B5B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8D8C1" w14:textId="77777777" w:rsidR="00790C50" w:rsidRDefault="00790C50" w:rsidP="008E5209">
      <w:pPr>
        <w:spacing w:after="0" w:line="240" w:lineRule="auto"/>
      </w:pPr>
      <w:r>
        <w:separator/>
      </w:r>
    </w:p>
  </w:footnote>
  <w:footnote w:type="continuationSeparator" w:id="0">
    <w:p w14:paraId="00FE62BE" w14:textId="77777777" w:rsidR="00790C50" w:rsidRDefault="00790C50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6DDD3" w14:textId="77777777" w:rsidR="0008479E" w:rsidRPr="002F40D7" w:rsidRDefault="0008479E" w:rsidP="0008479E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F40D7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44FE82AE" wp14:editId="72E82C38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40D7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Evaluación del programa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FD386" w14:textId="77777777" w:rsidR="0086126F" w:rsidRPr="002C2D3A" w:rsidRDefault="006047A9" w:rsidP="0085511A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2C2D3A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</w:t>
    </w:r>
    <w:r w:rsidR="002272AA" w:rsidRPr="002C2D3A">
      <w:rPr>
        <w:rFonts w:ascii="Medium" w:hAnsi="Medium" w:cs="Arial"/>
        <w:b/>
        <w:color w:val="404040" w:themeColor="text1" w:themeTint="BF"/>
        <w:sz w:val="26"/>
        <w:szCs w:val="26"/>
      </w:rPr>
      <w:t xml:space="preserve">ón del </w:t>
    </w:r>
    <w:r w:rsidR="00A65C5E" w:rsidRPr="002C2D3A">
      <w:rPr>
        <w:rFonts w:ascii="Medium" w:hAnsi="Medium" w:cs="Arial"/>
        <w:b/>
        <w:color w:val="404040" w:themeColor="text1" w:themeTint="BF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66.8pt;height:595.25pt" o:bullet="t">
        <v:imagedata r:id="rId1" o:title="03"/>
      </v:shape>
    </w:pict>
  </w:numPicBullet>
  <w:numPicBullet w:numPicBulletId="1">
    <w:pict>
      <v:shape id="_x0000_i1030" type="#_x0000_t75" style="width:282.15pt;height:297.2pt" o:bullet="t">
        <v:imagedata r:id="rId2" o:title="04"/>
      </v:shape>
    </w:pic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00CA9"/>
    <w:multiLevelType w:val="multilevel"/>
    <w:tmpl w:val="080A001F"/>
    <w:numStyleLink w:val="Estilo1"/>
  </w:abstractNum>
  <w:abstractNum w:abstractNumId="3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5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7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2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3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9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23"/>
  </w:num>
  <w:num w:numId="2">
    <w:abstractNumId w:val="21"/>
  </w:num>
  <w:num w:numId="3">
    <w:abstractNumId w:val="7"/>
  </w:num>
  <w:num w:numId="4">
    <w:abstractNumId w:val="19"/>
  </w:num>
  <w:num w:numId="5">
    <w:abstractNumId w:val="2"/>
  </w:num>
  <w:num w:numId="6">
    <w:abstractNumId w:val="27"/>
  </w:num>
  <w:num w:numId="7">
    <w:abstractNumId w:val="28"/>
  </w:num>
  <w:num w:numId="8">
    <w:abstractNumId w:val="29"/>
  </w:num>
  <w:num w:numId="9">
    <w:abstractNumId w:val="20"/>
  </w:num>
  <w:num w:numId="10">
    <w:abstractNumId w:val="12"/>
  </w:num>
  <w:num w:numId="11">
    <w:abstractNumId w:val="14"/>
  </w:num>
  <w:num w:numId="12">
    <w:abstractNumId w:val="26"/>
  </w:num>
  <w:num w:numId="13">
    <w:abstractNumId w:val="25"/>
  </w:num>
  <w:num w:numId="14">
    <w:abstractNumId w:val="22"/>
  </w:num>
  <w:num w:numId="15">
    <w:abstractNumId w:val="16"/>
  </w:num>
  <w:num w:numId="16">
    <w:abstractNumId w:val="4"/>
  </w:num>
  <w:num w:numId="17">
    <w:abstractNumId w:val="6"/>
  </w:num>
  <w:num w:numId="18">
    <w:abstractNumId w:val="17"/>
  </w:num>
  <w:num w:numId="19">
    <w:abstractNumId w:val="15"/>
  </w:num>
  <w:num w:numId="20">
    <w:abstractNumId w:val="5"/>
  </w:num>
  <w:num w:numId="21">
    <w:abstractNumId w:val="3"/>
  </w:num>
  <w:num w:numId="22">
    <w:abstractNumId w:val="13"/>
  </w:num>
  <w:num w:numId="23">
    <w:abstractNumId w:val="24"/>
  </w:num>
  <w:num w:numId="24">
    <w:abstractNumId w:val="11"/>
  </w:num>
  <w:num w:numId="25">
    <w:abstractNumId w:val="18"/>
  </w:num>
  <w:num w:numId="26">
    <w:abstractNumId w:val="8"/>
  </w:num>
  <w:num w:numId="27">
    <w:abstractNumId w:val="10"/>
  </w:num>
  <w:num w:numId="28">
    <w:abstractNumId w:val="0"/>
  </w:num>
  <w:num w:numId="29">
    <w:abstractNumId w:val="9"/>
  </w:num>
  <w:num w:numId="30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B745B"/>
    <w:rsid w:val="000C5759"/>
    <w:rsid w:val="000C5B5B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21D44"/>
    <w:rsid w:val="00131E38"/>
    <w:rsid w:val="00133709"/>
    <w:rsid w:val="0014109C"/>
    <w:rsid w:val="00145904"/>
    <w:rsid w:val="0016726F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2F40D7"/>
    <w:rsid w:val="002F7E64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42BB1"/>
    <w:rsid w:val="0034573D"/>
    <w:rsid w:val="00345DBF"/>
    <w:rsid w:val="0035145C"/>
    <w:rsid w:val="00351B94"/>
    <w:rsid w:val="003671EF"/>
    <w:rsid w:val="00375FD1"/>
    <w:rsid w:val="003800F3"/>
    <w:rsid w:val="00382E4E"/>
    <w:rsid w:val="003867E1"/>
    <w:rsid w:val="003917C6"/>
    <w:rsid w:val="003954C6"/>
    <w:rsid w:val="003964B5"/>
    <w:rsid w:val="003964DF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1E65"/>
    <w:rsid w:val="004327A3"/>
    <w:rsid w:val="0044695A"/>
    <w:rsid w:val="004512E5"/>
    <w:rsid w:val="004620A0"/>
    <w:rsid w:val="0047656A"/>
    <w:rsid w:val="00480476"/>
    <w:rsid w:val="004874A7"/>
    <w:rsid w:val="0049271E"/>
    <w:rsid w:val="0049403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D131A"/>
    <w:rsid w:val="004D31EC"/>
    <w:rsid w:val="004E1FF7"/>
    <w:rsid w:val="004E2AE5"/>
    <w:rsid w:val="004E5966"/>
    <w:rsid w:val="004F0731"/>
    <w:rsid w:val="004F1261"/>
    <w:rsid w:val="0050641D"/>
    <w:rsid w:val="005065B9"/>
    <w:rsid w:val="00510CF9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45F6"/>
    <w:rsid w:val="0058734A"/>
    <w:rsid w:val="0059649C"/>
    <w:rsid w:val="005A28B9"/>
    <w:rsid w:val="005A2AEF"/>
    <w:rsid w:val="005B4A7B"/>
    <w:rsid w:val="005B6573"/>
    <w:rsid w:val="005B6E40"/>
    <w:rsid w:val="005C47E6"/>
    <w:rsid w:val="005D1F4D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60C1"/>
    <w:rsid w:val="006C747D"/>
    <w:rsid w:val="006D38E2"/>
    <w:rsid w:val="006D4E80"/>
    <w:rsid w:val="006E67EA"/>
    <w:rsid w:val="006E7E0D"/>
    <w:rsid w:val="006F3A57"/>
    <w:rsid w:val="006F4B1F"/>
    <w:rsid w:val="006F5149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7077A"/>
    <w:rsid w:val="00782C22"/>
    <w:rsid w:val="00784BFB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4482C"/>
    <w:rsid w:val="0094737F"/>
    <w:rsid w:val="00950021"/>
    <w:rsid w:val="00953824"/>
    <w:rsid w:val="0096110F"/>
    <w:rsid w:val="00975299"/>
    <w:rsid w:val="009768FB"/>
    <w:rsid w:val="0098143F"/>
    <w:rsid w:val="00983315"/>
    <w:rsid w:val="009909AC"/>
    <w:rsid w:val="009A182A"/>
    <w:rsid w:val="009A3BA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19EA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42A7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B10612"/>
    <w:rsid w:val="00B20F0E"/>
    <w:rsid w:val="00B21AB0"/>
    <w:rsid w:val="00B22ADF"/>
    <w:rsid w:val="00B24DE7"/>
    <w:rsid w:val="00B30417"/>
    <w:rsid w:val="00B3544D"/>
    <w:rsid w:val="00B35EB8"/>
    <w:rsid w:val="00B435F5"/>
    <w:rsid w:val="00B43660"/>
    <w:rsid w:val="00B51B31"/>
    <w:rsid w:val="00B614DF"/>
    <w:rsid w:val="00B634A7"/>
    <w:rsid w:val="00B71DBF"/>
    <w:rsid w:val="00B72B03"/>
    <w:rsid w:val="00B77FBE"/>
    <w:rsid w:val="00B81100"/>
    <w:rsid w:val="00B861E0"/>
    <w:rsid w:val="00B920F2"/>
    <w:rsid w:val="00BA1B67"/>
    <w:rsid w:val="00BA222E"/>
    <w:rsid w:val="00BA4A59"/>
    <w:rsid w:val="00BA5030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7070"/>
    <w:rsid w:val="00C2107C"/>
    <w:rsid w:val="00C22984"/>
    <w:rsid w:val="00C232EC"/>
    <w:rsid w:val="00C30726"/>
    <w:rsid w:val="00C30C58"/>
    <w:rsid w:val="00C31850"/>
    <w:rsid w:val="00C36E65"/>
    <w:rsid w:val="00C54827"/>
    <w:rsid w:val="00C61D21"/>
    <w:rsid w:val="00C63D2B"/>
    <w:rsid w:val="00C66011"/>
    <w:rsid w:val="00C759BF"/>
    <w:rsid w:val="00C75A07"/>
    <w:rsid w:val="00C828B4"/>
    <w:rsid w:val="00C851B9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89F"/>
    <w:rsid w:val="00CC7366"/>
    <w:rsid w:val="00CC7BC4"/>
    <w:rsid w:val="00CD34D2"/>
    <w:rsid w:val="00CF511B"/>
    <w:rsid w:val="00CF57AE"/>
    <w:rsid w:val="00D00AAC"/>
    <w:rsid w:val="00D10D79"/>
    <w:rsid w:val="00D1436F"/>
    <w:rsid w:val="00D15AF3"/>
    <w:rsid w:val="00D16047"/>
    <w:rsid w:val="00D2217D"/>
    <w:rsid w:val="00D222DC"/>
    <w:rsid w:val="00D27992"/>
    <w:rsid w:val="00D31A79"/>
    <w:rsid w:val="00D33ED2"/>
    <w:rsid w:val="00D433BA"/>
    <w:rsid w:val="00D51CB4"/>
    <w:rsid w:val="00D54A9B"/>
    <w:rsid w:val="00D557F6"/>
    <w:rsid w:val="00D617BA"/>
    <w:rsid w:val="00D63AE8"/>
    <w:rsid w:val="00D71101"/>
    <w:rsid w:val="00D73FE0"/>
    <w:rsid w:val="00D74E49"/>
    <w:rsid w:val="00D77276"/>
    <w:rsid w:val="00D829E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A460E"/>
    <w:rsid w:val="00EB345E"/>
    <w:rsid w:val="00EB4CD4"/>
    <w:rsid w:val="00EC21F6"/>
    <w:rsid w:val="00EC3814"/>
    <w:rsid w:val="00EC63B6"/>
    <w:rsid w:val="00EC7832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149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17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5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40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8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7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2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8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0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3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0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millan@sinaloa.gob.m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lvador.gallegos@sinaloa.gob.m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01BCC-1ED4-4AF7-8344-9886E373F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</Template>
  <TotalTime>0</TotalTime>
  <Pages>5</Pages>
  <Words>1365</Words>
  <Characters>7513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Lenovo</cp:lastModifiedBy>
  <cp:revision>5</cp:revision>
  <cp:lastPrinted>2022-06-17T19:35:00Z</cp:lastPrinted>
  <dcterms:created xsi:type="dcterms:W3CDTF">2023-07-03T21:10:00Z</dcterms:created>
  <dcterms:modified xsi:type="dcterms:W3CDTF">2023-07-04T15:21:00Z</dcterms:modified>
</cp:coreProperties>
</file>